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EC" w:rsidRDefault="00F70E47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>NOVEMB</w:t>
      </w:r>
      <w:bookmarkStart w:id="0" w:name="_GoBack"/>
      <w:bookmarkEnd w:id="0"/>
      <w:r>
        <w:rPr>
          <w:rFonts w:eastAsia="Arial Black" w:hAnsi="Arial Black" w:cs="Arial Black"/>
          <w:b/>
        </w:rPr>
        <w:t xml:space="preserve">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>21</w:t>
      </w:r>
      <w:proofErr w:type="gramEnd"/>
      <w:r>
        <w:rPr>
          <w:rFonts w:ascii="Arial Black" w:eastAsia="Arial Black" w:hAnsi="Arial Black" w:cs="Arial Black"/>
          <w:b/>
        </w:rPr>
        <w:t xml:space="preserve"> EXAMINATION</w:t>
      </w:r>
    </w:p>
    <w:p w:rsidR="00BB5AEC" w:rsidRDefault="00F70E4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MARKING SCHEME BUSINESS PAPER 2 FORM 3</w:t>
      </w:r>
    </w:p>
    <w:p w:rsidR="00BB5AEC" w:rsidRDefault="00BB5AEC">
      <w:pPr>
        <w:spacing w:after="0"/>
        <w:rPr>
          <w:b/>
          <w:sz w:val="28"/>
          <w:szCs w:val="28"/>
          <w:u w:val="single"/>
        </w:rPr>
      </w:pPr>
    </w:p>
    <w:p w:rsidR="00BB5AEC" w:rsidRDefault="00F70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Describe any five disadvantages of operating sole proprietorship business.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Lack adequate/wide sources of capital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This may hinder expansion of the business.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Unlimited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liabilities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If the business is unable to pay its debts, personal property of the owner may be attached.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Death of the sole proprietor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may lead to closure of the business/it lacks continuity/has limited life.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Sole proprietor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suffers losses and bears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risks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lone/does not share losses.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Lack of consultation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may lead to poor or wrong decision that may negatively affect the business.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 is tiring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the sole proprietor has little or no time for leisure/long working hours.</w:t>
      </w:r>
    </w:p>
    <w:p w:rsidR="00BB5AEC" w:rsidRDefault="00F70E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Sole proprietor may lack essential skills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since there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 combination of talents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any five factors that may contribute to low national income in a country.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Low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number of income generating population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since most people 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dependants.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Inadequately trained labour/poor quality of labour supply /labour force: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leading to low productivity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Low natural resource endowment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/low quality &amp;quantity of the natural resource which are used as raw materials for production.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Too many foreign firms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country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repatriate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most of income generated.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Low level of technological advancements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/low innovations and inventions leading to poor quality output and low profits/high cost of production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Poor terms of trade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/low value of exports compared to imports.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ck of aggressiveness to invest/entrepreneurship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due to negative attitude towards work by citizens.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Lack of peace/security/political stability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creates a harsh environment to invest in.</w:t>
      </w:r>
    </w:p>
    <w:p w:rsidR="00BB5AEC" w:rsidRDefault="00F70E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Existence of a large subsistence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leads to underestimation of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the country’s output.</w:t>
      </w: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F70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Explain five factors that may slow entrepreneurial development in a country.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Unfavourable government policies e.g.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 taxation, low subsidies discourage people to start businesses.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Poor infrastructure e.g poor roads,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lack of electricity, water e.t.c.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make it difficult to transport raw materials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factory or the goods/services to the market 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Low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level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of education and skills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that may be required to set-up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operate a business successfully.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Inadequate market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Bus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inesses may lack enough customers to buy their goods.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In-availability/inadequate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rawmaterials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that 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necessary for production/ required in production.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 levels of competition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may discourage potential entrepreneurs or drive out existing ones.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Political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instability/insecurity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brings destruction, fear and uncertainty in business thus discouraging many from starting businesses.</w:t>
      </w:r>
    </w:p>
    <w:p w:rsidR="00BB5AEC" w:rsidRDefault="00F70E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Unfavourable natural factors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e.g. adverse climatic conditions may negatively affect operations of the business/ especially agricul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tural businesses.</w:t>
      </w: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12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any five circumstances which may make it necessary for an insurance company to re-insure. </w:t>
      </w:r>
    </w:p>
    <w:p w:rsidR="00BB5AEC" w:rsidRDefault="00F70E47">
      <w:pPr>
        <w:spacing w:after="0"/>
        <w:ind w:left="93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:rsidR="00BB5AEC" w:rsidRDefault="00F70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value of the property is high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such that a risk would cause great loss.</w:t>
      </w:r>
    </w:p>
    <w:p w:rsidR="00BB5AEC" w:rsidRDefault="00F70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chances of the risk occurring are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very high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insurer may not be able to compensate the risks alone.</w:t>
      </w:r>
    </w:p>
    <w:p w:rsidR="00BB5AEC" w:rsidRDefault="00F70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there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large number of risks covered by the insurer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Insurer may want to share compensation for the risks.</w:t>
      </w:r>
    </w:p>
    <w:p w:rsidR="00BB5AEC" w:rsidRDefault="00F70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there is need for insurance company to spread risks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share li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ability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incase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loss.</w:t>
      </w:r>
    </w:p>
    <w:p w:rsidR="00BB5AEC" w:rsidRDefault="00F70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If it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government policy that the insurer must re-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insure.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insurer must comply/has no option but to comply</w:t>
      </w:r>
    </w:p>
    <w:p w:rsidR="00BB5AEC" w:rsidRDefault="00BB5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Explain any five channels of distributing imported goods.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50800</wp:posOffset>
                </wp:positionV>
                <wp:extent cx="1296670" cy="38100"/>
                <wp:effectExtent l="0" t="0" r="0" b="0"/>
                <wp:wrapNone/>
                <wp:docPr id="10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970" h="1">
                              <a:moveTo>
                                <a:pt x="0" y="0"/>
                              </a:moveTo>
                              <a:lnTo>
                                <a:pt x="12839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283970,1" path="m0,0l1283970,0e" fillcolor="white" stroked="t" style="position:absolute;margin-left:151.0pt;margin-top:4.0pt;width:102.1pt;height:3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283970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foreign agent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76200</wp:posOffset>
                </wp:positionV>
                <wp:extent cx="479425" cy="38100"/>
                <wp:effectExtent l="0" t="0" r="0" b="0"/>
                <wp:wrapNone/>
                <wp:docPr id="10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1">
                              <a:moveTo>
                                <a:pt x="0" y="0"/>
                              </a:moveTo>
                              <a:lnTo>
                                <a:pt x="466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466725,1" path="m0,0l466725,0e" fillcolor="white" stroked="t" style="position:absolute;margin-left:145.0pt;margin-top:6.0pt;width:37.75pt;height:3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667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509904" cy="38100"/>
                <wp:effectExtent l="0" t="0" r="0" b="0"/>
                <wp:wrapNone/>
                <wp:docPr id="10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0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1">
                              <a:moveTo>
                                <a:pt x="0" y="0"/>
                              </a:moveTo>
                              <a:lnTo>
                                <a:pt x="4972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497205,1" path="m0,0l497205,0e" fillcolor="white" stroked="t" style="position:absolute;margin-left:252.0pt;margin-top:6.0pt;width:40.15pt;height:3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97205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agent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retailer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63500</wp:posOffset>
                </wp:positionV>
                <wp:extent cx="479425" cy="38100"/>
                <wp:effectExtent l="0" t="0" r="0" b="0"/>
                <wp:wrapNone/>
                <wp:docPr id="10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1">
                              <a:moveTo>
                                <a:pt x="0" y="0"/>
                              </a:moveTo>
                              <a:lnTo>
                                <a:pt x="466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466725,1" path="m0,0l466725,0e" fillcolor="white" stroked="t" style="position:absolute;margin-left:145.0pt;margin-top:5.0pt;width:37.75pt;height:3.0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667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63500</wp:posOffset>
                </wp:positionV>
                <wp:extent cx="509904" cy="38100"/>
                <wp:effectExtent l="0" t="0" r="0" b="0"/>
                <wp:wrapNone/>
                <wp:docPr id="10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0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1">
                              <a:moveTo>
                                <a:pt x="0" y="0"/>
                              </a:moveTo>
                              <a:lnTo>
                                <a:pt x="4972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497205,1" path="m0,0l497205,0e" fillcolor="white" stroked="t" style="position:absolute;margin-left:252.0pt;margin-top:5.0pt;width:40.15pt;height:3.0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9720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63500</wp:posOffset>
                </wp:positionV>
                <wp:extent cx="603250" cy="38100"/>
                <wp:effectExtent l="0" t="0" r="0" b="0"/>
                <wp:wrapNone/>
                <wp:docPr id="10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" h="1">
                              <a:moveTo>
                                <a:pt x="0" y="0"/>
                              </a:move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590550,1" path="m0,0l590550,0e" fillcolor="white" stroked="t" style="position:absolute;margin-left:356.0pt;margin-top:5.0pt;width:47.5pt;height:3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590550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wholesaler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76200</wp:posOffset>
                </wp:positionV>
                <wp:extent cx="479425" cy="38100"/>
                <wp:effectExtent l="0" t="0" r="0" b="0"/>
                <wp:wrapNone/>
                <wp:docPr id="10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1">
                              <a:moveTo>
                                <a:pt x="0" y="0"/>
                              </a:moveTo>
                              <a:lnTo>
                                <a:pt x="466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466725,1" path="m0,0l466725,0e" fillcolor="white" stroked="t" style="position:absolute;margin-left:145.0pt;margin-top:6.0pt;width:37.75pt;height:3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667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76200</wp:posOffset>
                </wp:positionV>
                <wp:extent cx="803275" cy="38100"/>
                <wp:effectExtent l="0" t="0" r="0" b="0"/>
                <wp:wrapNone/>
                <wp:docPr id="103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 h="1">
                              <a:moveTo>
                                <a:pt x="0" y="0"/>
                              </a:moveTo>
                              <a:lnTo>
                                <a:pt x="7905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790575,1" path="m0,0l790575,0e" fillcolor="white" stroked="t" style="position:absolute;margin-left:265.0pt;margin-top:6.0pt;width:63.25pt;height:3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790575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wholesaler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63500</wp:posOffset>
                </wp:positionV>
                <wp:extent cx="479425" cy="38100"/>
                <wp:effectExtent l="0" t="0" r="0" b="0"/>
                <wp:wrapNone/>
                <wp:docPr id="103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1">
                              <a:moveTo>
                                <a:pt x="0" y="0"/>
                              </a:moveTo>
                              <a:lnTo>
                                <a:pt x="466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466725,1" path="m0,0l466725,0e" fillcolor="white" stroked="t" style="position:absolute;margin-left:145.0pt;margin-top:5.0pt;width:37.75pt;height:3.0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667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63500</wp:posOffset>
                </wp:positionV>
                <wp:extent cx="803275" cy="38100"/>
                <wp:effectExtent l="0" t="0" r="0" b="0"/>
                <wp:wrapNone/>
                <wp:docPr id="10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 h="1">
                              <a:moveTo>
                                <a:pt x="0" y="0"/>
                              </a:moveTo>
                              <a:lnTo>
                                <a:pt x="7905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790575,1" path="m0,0l790575,0e" fillcolor="white" stroked="t" style="position:absolute;margin-left:265.0pt;margin-top:5.0pt;width:63.25pt;height:3.0pt;z-index:1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790575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foreign ag</w:t>
      </w:r>
      <w:r>
        <w:rPr>
          <w:rFonts w:ascii="Times New Roman" w:eastAsia="Times New Roman" w:hAnsi="Times New Roman" w:cs="Times New Roman"/>
          <w:b/>
          <w:color w:val="000000"/>
        </w:rPr>
        <w:t>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wholesaler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localconsumer</w:t>
      </w:r>
      <w:proofErr w:type="spellEnd"/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76200</wp:posOffset>
                </wp:positionV>
                <wp:extent cx="479425" cy="38100"/>
                <wp:effectExtent l="0" t="0" r="0" b="0"/>
                <wp:wrapNone/>
                <wp:docPr id="10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1">
                              <a:moveTo>
                                <a:pt x="0" y="0"/>
                              </a:moveTo>
                              <a:lnTo>
                                <a:pt x="466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coordsize="466725,1" path="m0,0l466725,0e" fillcolor="white" stroked="t" style="position:absolute;margin-left:145.0pt;margin-top:6.0pt;width:37.75pt;height:3.0pt;z-index:1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667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509904" cy="38100"/>
                <wp:effectExtent l="0" t="0" r="0" b="0"/>
                <wp:wrapNone/>
                <wp:docPr id="103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0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1">
                              <a:moveTo>
                                <a:pt x="0" y="0"/>
                              </a:moveTo>
                              <a:lnTo>
                                <a:pt x="4972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coordsize="497205,1" path="m0,0l497205,0e" fillcolor="white" stroked="t" style="position:absolute;margin-left:252.0pt;margin-top:6.0pt;width:40.15pt;height:3.0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9720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76200</wp:posOffset>
                </wp:positionV>
                <wp:extent cx="374650" cy="38100"/>
                <wp:effectExtent l="0" t="0" r="0" b="0"/>
                <wp:wrapNone/>
                <wp:docPr id="10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1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coordsize="361950,1" path="m0,0l361950,0e" fillcolor="white" stroked="t" style="position:absolute;margin-left:376.0pt;margin-top:6.0pt;width:29.5pt;height:3.0pt;z-index:1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361950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own retail outlet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50800</wp:posOffset>
                </wp:positionV>
                <wp:extent cx="479425" cy="38100"/>
                <wp:effectExtent l="0" t="0" r="0" b="0"/>
                <wp:wrapNone/>
                <wp:docPr id="103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9525">
                              <a:moveTo>
                                <a:pt x="0" y="0"/>
                              </a:moveTo>
                              <a:lnTo>
                                <a:pt x="46672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coordsize="466725,9525" path="m0,0l466725,9525e" fillcolor="white" stroked="t" style="position:absolute;margin-left:145.0pt;margin-top:4.0pt;width:37.75pt;height:3.0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66725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50800</wp:posOffset>
                </wp:positionV>
                <wp:extent cx="803275" cy="38100"/>
                <wp:effectExtent l="0" t="0" r="0" b="0"/>
                <wp:wrapNone/>
                <wp:docPr id="1040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 h="1">
                              <a:moveTo>
                                <a:pt x="0" y="0"/>
                              </a:moveTo>
                              <a:lnTo>
                                <a:pt x="7905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790575,1" path="m0,0l790575,0e" fillcolor="white" stroked="t" style="position:absolute;margin-left:265.0pt;margin-top:4.0pt;width:63.25pt;height:3.0pt;z-index:1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790575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agent/import merchant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wholesaler</w: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63500</wp:posOffset>
                </wp:positionV>
                <wp:extent cx="479425" cy="38100"/>
                <wp:effectExtent l="0" t="0" r="0" b="0"/>
                <wp:wrapNone/>
                <wp:docPr id="104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47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9525">
                              <a:moveTo>
                                <a:pt x="0" y="0"/>
                              </a:moveTo>
                              <a:lnTo>
                                <a:pt x="46672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coordsize="466725,9525" path="m0,0l466725,9525e" fillcolor="white" stroked="t" style="position:absolute;margin-left:145.0pt;margin-top:5.0pt;width:37.75pt;height:3.0pt;z-index:17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="block" weight="1.0pt"/>
                <v:fill/>
                <v:path textboxrect="0,0,466725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63500</wp:posOffset>
                </wp:positionV>
                <wp:extent cx="565150" cy="38100"/>
                <wp:effectExtent l="0" t="0" r="0" b="0"/>
                <wp:wrapNone/>
                <wp:docPr id="104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9525">
                              <a:moveTo>
                                <a:pt x="0" y="0"/>
                              </a:moveTo>
                              <a:lnTo>
                                <a:pt x="552450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2" coordsize="552450,9525" path="m0,0l552450,9525e" fillcolor="white" stroked="t" style="position:absolute;margin-left:322.0pt;margin-top:5.0pt;width:44.5pt;height:3.0pt;z-index:1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552450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63500</wp:posOffset>
                </wp:positionV>
                <wp:extent cx="450850" cy="38100"/>
                <wp:effectExtent l="0" t="0" r="0" b="0"/>
                <wp:wrapNone/>
                <wp:docPr id="104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1">
                              <a:moveTo>
                                <a:pt x="0" y="0"/>
                              </a:moveTo>
                              <a:lnTo>
                                <a:pt x="438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438150,1" path="m0,0l438150,0e" fillcolor="white" stroked="t" style="position:absolute;margin-left:447.0pt;margin-top:5.0pt;width:35.5pt;height:3.0pt;z-index:1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38150,1" o:connectlocs=""/>
              </v:shape>
            </w:pict>
          </mc:Fallback>
        </mc:AlternateConten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Local retailer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consumer</w: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63500</wp:posOffset>
                </wp:positionV>
                <wp:extent cx="736600" cy="38100"/>
                <wp:effectExtent l="0" t="0" r="0" b="0"/>
                <wp:wrapNone/>
                <wp:docPr id="10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1">
                              <a:moveTo>
                                <a:pt x="0" y="0"/>
                              </a:moveTo>
                              <a:lnTo>
                                <a:pt x="7239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723900,1" path="m0,0l723900,0e" fillcolor="white" stroked="t" style="position:absolute;margin-left:130.0pt;margin-top:5.0pt;width:58.0pt;height:3.0pt;z-index:2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723900,1" o:connectlocs=""/>
              </v:shape>
            </w:pict>
          </mc:Fallback>
        </mc:AlternateContent>
      </w:r>
    </w:p>
    <w:p w:rsidR="00BB5AEC" w:rsidRDefault="00F70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8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Foreign producer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agent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retailer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local consume</w:t>
      </w:r>
      <w:r>
        <w:rPr>
          <w:rFonts w:ascii="Times New Roman" w:eastAsia="Times New Roman" w:hAnsi="Times New Roman" w:cs="Times New Roman"/>
          <w:b/>
          <w:color w:val="000000"/>
        </w:rPr>
        <w:t>r</w: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88900</wp:posOffset>
                </wp:positionV>
                <wp:extent cx="546100" cy="38100"/>
                <wp:effectExtent l="0" t="0" r="0" b="0"/>
                <wp:wrapNone/>
                <wp:docPr id="10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coordsize="533400,1" path="m0,0l533400,0e" fillcolor="white" stroked="t" style="position:absolute;margin-left:145.0pt;margin-top:7.0pt;width:43.0pt;height:3.0pt;z-index:2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533400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88900</wp:posOffset>
                </wp:positionV>
                <wp:extent cx="660400" cy="38100"/>
                <wp:effectExtent l="0" t="0" r="0" b="0"/>
                <wp:wrapNone/>
                <wp:docPr id="10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1">
                              <a:moveTo>
                                <a:pt x="0" y="0"/>
                              </a:move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647700,1" path="m0,0l647700,0e" fillcolor="white" stroked="t" style="position:absolute;margin-left:240.0pt;margin-top:7.0pt;width:52.0pt;height:3.0pt;z-index:2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647700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88900</wp:posOffset>
                </wp:positionV>
                <wp:extent cx="555625" cy="38100"/>
                <wp:effectExtent l="0" t="0" r="0" b="0"/>
                <wp:wrapNone/>
                <wp:docPr id="104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1">
                              <a:moveTo>
                                <a:pt x="0" y="0"/>
                              </a:moveTo>
                              <a:lnTo>
                                <a:pt x="542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coordsize="542925,1" path="m0,0l542925,0e" fillcolor="white" stroked="t" style="position:absolute;margin-left:356.0pt;margin-top:7.0pt;width:43.75pt;height:3.0pt;z-index:2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542925,1" o:connectlocs=""/>
              </v:shape>
            </w:pict>
          </mc:Fallback>
        </mc:AlternateContent>
      </w:r>
    </w:p>
    <w:p w:rsidR="00BB5AEC" w:rsidRDefault="00BB5A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F70E47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 any other channel where the directions are appropriate</w:t>
      </w:r>
    </w:p>
    <w:p w:rsidR="00BB5AEC" w:rsidRDefault="00BB5AEC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The following transactions relates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 for the month of January 2014.</w: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 – Started business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100,000 cash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200,000 in bank.</w:t>
      </w:r>
      <w:proofErr w:type="gramEnd"/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Jan- Withdrew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20,000 for office use.</w:t>
      </w:r>
      <w:proofErr w:type="gramEnd"/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 – Withdrew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10,000 from bank for private use</w: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Required: Prepare the relevant ledger accounts and balance the accounts.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Capital A/C√</w:t>
      </w:r>
    </w:p>
    <w:tbl>
      <w:tblPr>
        <w:tblStyle w:val="a"/>
        <w:tblW w:w="95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1305"/>
        <w:gridCol w:w="1028"/>
        <w:gridCol w:w="1203"/>
        <w:gridCol w:w="272"/>
        <w:gridCol w:w="1310"/>
        <w:gridCol w:w="1080"/>
        <w:gridCol w:w="900"/>
        <w:gridCol w:w="1260"/>
      </w:tblGrid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0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02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1/1/14√</w:t>
            </w:r>
          </w:p>
        </w:tc>
        <w:tc>
          <w:tcPr>
            <w:tcW w:w="108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100,000√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1/1/14√</w:t>
            </w:r>
          </w:p>
        </w:tc>
        <w:tc>
          <w:tcPr>
            <w:tcW w:w="108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</w:t>
            </w: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200,000√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lastRenderedPageBreak/>
              <w:t>14/01/14√</w:t>
            </w:r>
          </w:p>
        </w:tc>
        <w:tc>
          <w:tcPr>
            <w:tcW w:w="130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Balance </w:t>
            </w:r>
          </w:p>
        </w:tc>
        <w:tc>
          <w:tcPr>
            <w:tcW w:w="102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c/</w:t>
            </w:r>
            <w:proofErr w:type="spellStart"/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d√s</w:t>
            </w:r>
            <w:proofErr w:type="spellEnd"/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300,000√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300,000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300,000</w:t>
            </w: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15/01/14√</w:t>
            </w:r>
          </w:p>
        </w:tc>
        <w:tc>
          <w:tcPr>
            <w:tcW w:w="108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Balance 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300,000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√</w:t>
            </w:r>
          </w:p>
        </w:tc>
      </w:tr>
    </w:tbl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Cash A/C√</w:t>
      </w:r>
    </w:p>
    <w:tbl>
      <w:tblPr>
        <w:tblStyle w:val="a0"/>
        <w:tblW w:w="945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1189"/>
        <w:gridCol w:w="1144"/>
        <w:gridCol w:w="1203"/>
        <w:gridCol w:w="272"/>
        <w:gridCol w:w="1202"/>
        <w:gridCol w:w="1080"/>
        <w:gridCol w:w="900"/>
        <w:gridCol w:w="1260"/>
      </w:tblGrid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144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1/1/14√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Capital </w:t>
            </w: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2/1/14√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</w:t>
            </w: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14/01/14√</w:t>
            </w:r>
          </w:p>
        </w:tc>
        <w:tc>
          <w:tcPr>
            <w:tcW w:w="108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Balance 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c/d√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120,000√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120,000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120,000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15/01/14√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1144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120,000√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Gungsuh" w:eastAsia="Gungsuh" w:hAnsi="Gungsuh" w:cs="Gungsuh"/>
          <w:b/>
          <w:color w:val="000000"/>
          <w:sz w:val="24"/>
          <w:szCs w:val="24"/>
        </w:rPr>
        <w:t>Bank  A</w:t>
      </w:r>
      <w:proofErr w:type="gramEnd"/>
      <w:r>
        <w:rPr>
          <w:rFonts w:ascii="Gungsuh" w:eastAsia="Gungsuh" w:hAnsi="Gungsuh" w:cs="Gungsuh"/>
          <w:b/>
          <w:color w:val="000000"/>
          <w:sz w:val="24"/>
          <w:szCs w:val="24"/>
        </w:rPr>
        <w:t>/C√</w:t>
      </w:r>
    </w:p>
    <w:tbl>
      <w:tblPr>
        <w:tblStyle w:val="a1"/>
        <w:tblW w:w="95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1189"/>
        <w:gridCol w:w="1144"/>
        <w:gridCol w:w="1203"/>
        <w:gridCol w:w="272"/>
        <w:gridCol w:w="1202"/>
        <w:gridCol w:w="1203"/>
        <w:gridCol w:w="900"/>
        <w:gridCol w:w="1260"/>
      </w:tblGrid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144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1/1/14√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Capital </w:t>
            </w: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200,000√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2/1/14√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20,000√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14/1/14√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Drawings </w:t>
            </w: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10,000√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14/01/14√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Balance 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c/d√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170,000√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200,000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200,000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15/01/14√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Balance </w:t>
            </w:r>
          </w:p>
        </w:tc>
        <w:tc>
          <w:tcPr>
            <w:tcW w:w="1144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200,000√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Drawings A/C√</w:t>
      </w:r>
    </w:p>
    <w:tbl>
      <w:tblPr>
        <w:tblStyle w:val="a2"/>
        <w:tblW w:w="95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1189"/>
        <w:gridCol w:w="1144"/>
        <w:gridCol w:w="1203"/>
        <w:gridCol w:w="272"/>
        <w:gridCol w:w="1202"/>
        <w:gridCol w:w="1150"/>
        <w:gridCol w:w="900"/>
        <w:gridCol w:w="1260"/>
      </w:tblGrid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144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5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L.F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14/1/14√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Bank </w:t>
            </w: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14/01/14√</w:t>
            </w:r>
          </w:p>
        </w:tc>
        <w:tc>
          <w:tcPr>
            <w:tcW w:w="115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90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c/d√</w:t>
            </w: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10,000√</w:t>
            </w:r>
          </w:p>
        </w:tc>
      </w:tr>
      <w:tr w:rsidR="00BB5AEC"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10,000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10,000</w:t>
            </w:r>
          </w:p>
        </w:tc>
      </w:tr>
      <w:tr w:rsidR="00BB5AEC">
        <w:tc>
          <w:tcPr>
            <w:tcW w:w="1202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15/01/14√</w:t>
            </w:r>
          </w:p>
        </w:tc>
        <w:tc>
          <w:tcPr>
            <w:tcW w:w="1189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1144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203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10,000√</w:t>
            </w:r>
          </w:p>
        </w:tc>
        <w:tc>
          <w:tcPr>
            <w:tcW w:w="27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40 x 1/4 = 10mks</w:t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NB: i) Date must be complete i.e. Day, Month and year to earn a tick.</w:t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ii) Details column must be correct to earn a tick on the amount.</w:t>
      </w:r>
    </w:p>
    <w:p w:rsidR="00BB5AEC" w:rsidRDefault="00BB5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BB5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BB5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Explain any five disadvantages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country where the government involves itself in business. (10mks)</w:t>
      </w: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AEC" w:rsidRDefault="00F70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Some of the managerial posts in government-run businesses are filled by political appointees who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 kept in such positions even when they are performing very poorly.</w:t>
      </w:r>
    </w:p>
    <w:p w:rsidR="00BB5AEC" w:rsidRDefault="00F70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Government involveme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nt in business may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scare away investors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who would have rendered the same service in a more efficient manner.</w:t>
      </w:r>
    </w:p>
    <w:p w:rsidR="00BB5AEC" w:rsidRDefault="00F70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Some state-run organizations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continuously make losses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thereby failing to sustain themselves. This may force the government to finance them with tax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payers’ money.</w:t>
      </w:r>
    </w:p>
    <w:p w:rsidR="00BB5AEC" w:rsidRDefault="00F70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Most government projects are expensive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enterprises which require heavy investment in terms of personnel training and equipment lading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diversion of public funds /neglect of some development projects</w:t>
      </w:r>
    </w:p>
    <w:p w:rsidR="00BB5AEC" w:rsidRDefault="00F70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Poor governance / Corruption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leading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embezzlement/mismanagement of funds</w:t>
      </w:r>
    </w:p>
    <w:p w:rsidR="00BB5AEC" w:rsidRDefault="00F70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Most government owned businesses are monopolies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which are insensitive to customer needs/poor quality goods/highly overpriced goods/insufficient goods.</w:t>
      </w:r>
    </w:p>
    <w:p w:rsidR="00BB5AEC" w:rsidRDefault="00BB5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Explain any five benefits to a business that uses computers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 documents.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Use of as less human labour: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reduce labour costs is required to file documents.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Saves floor space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computers will occupy less space compared to hard copy files/computers have a lot of storage space/services within a small area.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Least tedious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due to less paperwork needed.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Saves resources /less materials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e.g. papers, files, cabinets e.t.c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(examples ser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ve as expansion)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Saves time in retrieving the documents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Documents can be retrieved fast by a click of a button.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Provides security for the documents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since a password can be used to deny access of the documents to unauthorized person.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Electronic filing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portable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one can easily access the files at different locations.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Can provide back-up for the files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by copying the files to an external storage device.</w:t>
      </w:r>
    </w:p>
    <w:p w:rsidR="00BB5AEC" w:rsidRDefault="00F70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 environmentally friendly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does not involve a lot of papers, files e.t.c the work is presentable.</w:t>
      </w:r>
    </w:p>
    <w:p w:rsidR="00BB5AEC" w:rsidRDefault="00F70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following balances were obtained from the books of Kenya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 on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2018.</w:t>
      </w:r>
    </w:p>
    <w:tbl>
      <w:tblPr>
        <w:tblStyle w:val="a3"/>
        <w:tblW w:w="5400" w:type="dxa"/>
        <w:tblInd w:w="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1008"/>
        <w:gridCol w:w="1107"/>
      </w:tblGrid>
      <w:tr w:rsidR="00BB5AEC">
        <w:tc>
          <w:tcPr>
            <w:tcW w:w="3285" w:type="dxa"/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 van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Debtors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Creditors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180,000</w:t>
            </w:r>
          </w:p>
        </w:tc>
      </w:tr>
      <w:tr w:rsidR="00BB5AEC">
        <w:trPr>
          <w:gridAfter w:val="1"/>
          <w:wAfter w:w="1107" w:type="dxa"/>
        </w:trPr>
        <w:tc>
          <w:tcPr>
            <w:tcW w:w="3285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Outstanding electricity bill</w:t>
            </w:r>
          </w:p>
        </w:tc>
        <w:tc>
          <w:tcPr>
            <w:tcW w:w="1008" w:type="dxa"/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</w:tbl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transactions took place during the year ended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December, 2018.</w:t>
      </w:r>
    </w:p>
    <w:p w:rsidR="00BB5AEC" w:rsidRDefault="00F70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Paid creditors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80,000 by cheque</w:t>
      </w:r>
    </w:p>
    <w:p w:rsidR="00BB5AEC" w:rsidRDefault="00F70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Sold motor van and was paid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150,000 in cash and the balance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outstanding at the end of the year.</w:t>
      </w:r>
    </w:p>
    <w:p w:rsidR="00BB5AEC" w:rsidRDefault="00F70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Paid an electricity bill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20,000 in cash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10,000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outstanding at the end of the year.</w:t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Required: Prepare Kenya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traders balance sheet as at 31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December, 2018.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BB5AEC" w:rsidRDefault="00BB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KENYAMOJA TRADERS√</w: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BALANCE SHEET</w: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AT 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 2018</w:t>
      </w:r>
    </w:p>
    <w:tbl>
      <w:tblPr>
        <w:tblStyle w:val="a4"/>
        <w:tblW w:w="9666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128"/>
        <w:gridCol w:w="1517"/>
        <w:gridCol w:w="2924"/>
        <w:gridCol w:w="1169"/>
        <w:gridCol w:w="1128"/>
      </w:tblGrid>
      <w:tr w:rsidR="00BB5AEC">
        <w:tc>
          <w:tcPr>
            <w:tcW w:w="1800" w:type="dxa"/>
            <w:tcBorders>
              <w:bottom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Fixed assets</w:t>
            </w:r>
          </w:p>
        </w:tc>
        <w:tc>
          <w:tcPr>
            <w:tcW w:w="1128" w:type="dxa"/>
            <w:tcBorders>
              <w:bottom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bottom w:val="nil"/>
              <w:right w:val="single" w:sz="4" w:space="0" w:color="000000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24" w:type="dxa"/>
            <w:tcBorders>
              <w:left w:val="single" w:sz="4" w:space="0" w:color="000000"/>
              <w:bottom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Capital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 liabilities</w:t>
            </w:r>
          </w:p>
        </w:tc>
        <w:tc>
          <w:tcPr>
            <w:tcW w:w="1169" w:type="dxa"/>
            <w:tcBorders>
              <w:bottom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bottom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B5AEC"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Furniture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200,000√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600,000√</w:t>
            </w:r>
          </w:p>
        </w:tc>
      </w:tr>
      <w:tr w:rsidR="00BB5AEC"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Current assets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Stock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Debtors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Asset debtor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Cash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60,000√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80,000√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50,000√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lastRenderedPageBreak/>
              <w:t>190,000√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  <w:u w:val="single"/>
              </w:rPr>
              <w:t>130,000√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510,000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710,000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Current liabilities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Creditors 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Outstanding electricity bill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100,000√</w:t>
            </w: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10,000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110,000</w:t>
            </w: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BB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AEC" w:rsidRDefault="00F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710,000</w:t>
            </w:r>
          </w:p>
        </w:tc>
      </w:tr>
    </w:tbl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x1 = 10mks</w:t>
      </w:r>
    </w:p>
    <w:p w:rsidR="00BB5AEC" w:rsidRDefault="00BB5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AEC" w:rsidRDefault="00F70E4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The title must be complete including the date narration</w:t>
      </w:r>
    </w:p>
    <w:p w:rsidR="00BB5AEC" w:rsidRDefault="00F70E4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Outline any five factors that have facilitated growth of commerce in Kenya.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 system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enables raw material to the market and goods to the market</w:t>
      </w:r>
    </w:p>
    <w:p w:rsidR="00BB5AEC" w:rsidRDefault="00F70E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communication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enables passing of information between traders and other traders, traders and consumers e.t.c</w:t>
      </w:r>
    </w:p>
    <w:p w:rsidR="00BB5AEC" w:rsidRDefault="00F70E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Banking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facilitates exchange, offers means of money transfer and safekeeping of money for traders.</w:t>
      </w:r>
    </w:p>
    <w:p w:rsidR="00BB5AEC" w:rsidRDefault="00F70E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Warehousing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facilitates storage of raw materials, finished goods, ensures steady flow of goods, stability of prices e.t.c</w:t>
      </w:r>
    </w:p>
    <w:p w:rsidR="00BB5AEC" w:rsidRDefault="00F70E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Insurance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ensures continuity of busin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esses in case of occurrence of 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risk  and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creates confidence among traders.</w:t>
      </w:r>
    </w:p>
    <w:p w:rsidR="00BB5AEC" w:rsidRDefault="00F70E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Product promotion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creates awareness for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traders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goods, increases sales, improves image of businesses.</w:t>
      </w:r>
    </w:p>
    <w:p w:rsidR="00BB5AEC" w:rsidRDefault="00BB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F70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Outline any five conditions under which a business may find it appropriate to accept deferred terms of </w:t>
      </w:r>
    </w:p>
    <w:p w:rsidR="00BB5AEC" w:rsidRDefault="00F70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BB5AEC" w:rsidRDefault="00F70E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the business has established that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credit worthiness of the customer is not in doubt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minimise bad debts</w:t>
      </w:r>
    </w:p>
    <w:p w:rsidR="00BB5AEC" w:rsidRDefault="00F70E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the business wants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attract / retain customers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to increase sales volume</w:t>
      </w:r>
    </w:p>
    <w:p w:rsidR="00BB5AEC" w:rsidRDefault="00F70E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the business wants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increase the sales by offering credit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thus make more profits/high profits</w:t>
      </w:r>
    </w:p>
    <w:p w:rsidR="00BB5AEC" w:rsidRDefault="00F70E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the business wants to use credit facilities as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competing tool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to out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the competition</w:t>
      </w:r>
    </w:p>
    <w:p w:rsidR="00BB5AEC" w:rsidRDefault="00F70E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Where the seller wants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dispose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off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slow moving stock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release tied up finances</w:t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Below is a population structure according to the ages. Explain any five challenges to the country with </w:t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population structure. </w:t>
      </w: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163830</wp:posOffset>
            </wp:positionV>
            <wp:extent cx="5695950" cy="1971675"/>
            <wp:effectExtent l="0" t="0" r="0" b="0"/>
            <wp:wrapNone/>
            <wp:docPr id="1048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/>
                  </pic:nvPicPr>
                  <pic:blipFill>
                    <a:blip r:embed="rId8" cstate="print"/>
                    <a:srcRect t="10390"/>
                    <a:stretch/>
                  </pic:blipFill>
                  <pic:spPr>
                    <a:xfrm>
                      <a:off x="0" y="0"/>
                      <a:ext cx="5695950" cy="1971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AEC" w:rsidRDefault="00F70E4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F7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1244600</wp:posOffset>
                </wp:positionV>
                <wp:extent cx="873125" cy="349250"/>
                <wp:effectExtent l="0" t="0" r="0" b="0"/>
                <wp:wrapNone/>
                <wp:docPr id="104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1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847725" y="323850"/>
                              </a:lnTo>
                              <a:lnTo>
                                <a:pt x="84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5AEC" w:rsidRDefault="00F70E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MALE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coordsize="847725,323850" path="m0,0l0,323850l847725,323850l847725,0xe" fillcolor="white" stroked="t" style="position:absolute;margin-left:90.0pt;margin-top:98.0pt;width:68.75pt;height:27.5pt;z-index:2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847725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1244600</wp:posOffset>
                </wp:positionV>
                <wp:extent cx="873125" cy="349250"/>
                <wp:effectExtent l="0" t="0" r="0" b="0"/>
                <wp:wrapNone/>
                <wp:docPr id="105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1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847725" y="323850"/>
                              </a:lnTo>
                              <a:lnTo>
                                <a:pt x="84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5AEC" w:rsidRDefault="00F70E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FEMALE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0" coordsize="847725,323850" path="m0,0l0,323850l847725,323850l847725,0xe" fillcolor="white" stroked="t" style="position:absolute;margin-left:337.0pt;margin-top:98.0pt;width:68.75pt;height:27.5pt;z-index:2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847725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</w:p>
    <w:p w:rsidR="00BB5AEC" w:rsidRDefault="00BB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BB5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There will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 dependency ratio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the young population on the working adults.</w:t>
      </w: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 rate of unemployment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In the country because the young people entering the job market may be more than the required number. They may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also not have the required knowledge, skills to experience for the jobs.</w:t>
      </w: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Low labour supply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the majority of young people may not have attained the working age.</w:t>
      </w: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Increased social evils/crime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the many young people are idle and may engage in social evils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crime.</w:t>
      </w: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Pressure on goods to services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consumed by the youth as their demand is more than the supply.</w:t>
      </w: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Reduced savings and investments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The large unemployed young population consume more leaving little or no savings which lead to reduced investments.</w:t>
      </w:r>
    </w:p>
    <w:p w:rsidR="00BB5AEC" w:rsidRDefault="00F70E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Divers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ion of government expenditure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money that would be used in other sectors is used to cater for the welfare of the youth.</w:t>
      </w:r>
    </w:p>
    <w:sectPr w:rsidR="00BB5AEC">
      <w:headerReference w:type="default" r:id="rId9"/>
      <w:footerReference w:type="default" r:id="rId10"/>
      <w:pgSz w:w="12240" w:h="15840"/>
      <w:pgMar w:top="360" w:right="450" w:bottom="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47" w:rsidRDefault="00F70E47" w:rsidP="00CE07A3">
      <w:pPr>
        <w:spacing w:after="0" w:line="240" w:lineRule="auto"/>
      </w:pPr>
      <w:r>
        <w:separator/>
      </w:r>
    </w:p>
  </w:endnote>
  <w:endnote w:type="continuationSeparator" w:id="0">
    <w:p w:rsidR="00F70E47" w:rsidRDefault="00F70E47" w:rsidP="00CE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A3" w:rsidRDefault="00CE07A3" w:rsidP="00CE07A3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E07A3" w:rsidRDefault="00CE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47" w:rsidRDefault="00F70E47" w:rsidP="00CE07A3">
      <w:pPr>
        <w:spacing w:after="0" w:line="240" w:lineRule="auto"/>
      </w:pPr>
      <w:r>
        <w:separator/>
      </w:r>
    </w:p>
  </w:footnote>
  <w:footnote w:type="continuationSeparator" w:id="0">
    <w:p w:rsidR="00F70E47" w:rsidRDefault="00F70E47" w:rsidP="00CE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A3" w:rsidRDefault="00CE07A3" w:rsidP="00CE07A3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E07A3" w:rsidRDefault="00CE0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6AAA5AF2"/>
    <w:lvl w:ilvl="0">
      <w:start w:val="1"/>
      <w:numFmt w:val="lowerRoman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DF5A0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4956E6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406CFE56"/>
    <w:lvl w:ilvl="0">
      <w:start w:val="1"/>
      <w:numFmt w:val="lowerRoman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4"/>
    <w:multiLevelType w:val="multilevel"/>
    <w:tmpl w:val="29E00030"/>
    <w:lvl w:ilvl="0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5"/>
    <w:multiLevelType w:val="multilevel"/>
    <w:tmpl w:val="B8B6B500"/>
    <w:lvl w:ilvl="0">
      <w:start w:val="1"/>
      <w:numFmt w:val="lowerRoman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6"/>
    <w:multiLevelType w:val="multilevel"/>
    <w:tmpl w:val="4E50B6EE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7"/>
    <w:multiLevelType w:val="multilevel"/>
    <w:tmpl w:val="3740E072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multilevel"/>
    <w:tmpl w:val="E2660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0000009"/>
    <w:multiLevelType w:val="multilevel"/>
    <w:tmpl w:val="34005620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A"/>
    <w:multiLevelType w:val="multilevel"/>
    <w:tmpl w:val="601A574C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ACCA36CC"/>
    <w:lvl w:ilvl="0">
      <w:start w:val="1"/>
      <w:numFmt w:val="lowerRoman"/>
      <w:lvlText w:val="(%1)"/>
      <w:lvlJc w:val="left"/>
      <w:pPr>
        <w:ind w:left="171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EC"/>
    <w:rsid w:val="00BB5AEC"/>
    <w:rsid w:val="00CE07A3"/>
    <w:rsid w:val="00F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A3"/>
  </w:style>
  <w:style w:type="paragraph" w:styleId="Footer">
    <w:name w:val="footer"/>
    <w:basedOn w:val="Normal"/>
    <w:link w:val="FooterChar"/>
    <w:uiPriority w:val="99"/>
    <w:unhideWhenUsed/>
    <w:rsid w:val="00CE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A3"/>
  </w:style>
  <w:style w:type="paragraph" w:styleId="Footer">
    <w:name w:val="footer"/>
    <w:basedOn w:val="Normal"/>
    <w:link w:val="FooterChar"/>
    <w:uiPriority w:val="99"/>
    <w:unhideWhenUsed/>
    <w:rsid w:val="00CE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2021-11-16T07:31:00Z</dcterms:created>
  <dcterms:modified xsi:type="dcterms:W3CDTF">2022-02-12T03:24:00Z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596274894ee24b54aa92ec3a0cada152</vt:lpwstr>
  </property>
</Properties>
</file>